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BBB42" w14:textId="77777777" w:rsidR="002324BD" w:rsidRPr="008A3279" w:rsidRDefault="00000000" w:rsidP="008A3279">
      <w:pPr>
        <w:pStyle w:val="Heading1"/>
        <w:jc w:val="center"/>
        <w:rPr>
          <w:rFonts w:ascii="Times New Roman" w:hAnsi="Times New Roman" w:cs="Times New Roman"/>
          <w:sz w:val="24"/>
          <w:szCs w:val="24"/>
        </w:rPr>
      </w:pPr>
      <w:r w:rsidRPr="008A3279">
        <w:rPr>
          <w:rFonts w:ascii="Times New Roman" w:hAnsi="Times New Roman" w:cs="Times New Roman"/>
          <w:sz w:val="24"/>
          <w:szCs w:val="24"/>
        </w:rPr>
        <w:t>Final Ultimate Computer Lab Proposal</w:t>
      </w:r>
    </w:p>
    <w:p w14:paraId="5A5B87BA" w14:textId="77777777" w:rsidR="00462424" w:rsidRDefault="00000000" w:rsidP="00212B68">
      <w:pPr>
        <w:rPr>
          <w:rFonts w:ascii="Times New Roman" w:hAnsi="Times New Roman" w:cs="Times New Roman"/>
          <w:sz w:val="24"/>
          <w:szCs w:val="24"/>
        </w:rPr>
      </w:pPr>
      <w:r w:rsidRPr="008A3279">
        <w:rPr>
          <w:rFonts w:ascii="Times New Roman" w:hAnsi="Times New Roman" w:cs="Times New Roman"/>
          <w:sz w:val="24"/>
          <w:szCs w:val="24"/>
        </w:rPr>
        <w:t>Blog Post Here</w:t>
      </w:r>
      <w:r w:rsidR="00462424">
        <w:rPr>
          <w:rFonts w:ascii="Times New Roman" w:hAnsi="Times New Roman" w:cs="Times New Roman"/>
          <w:sz w:val="24"/>
          <w:szCs w:val="24"/>
        </w:rPr>
        <w:t xml:space="preserve"> - </w:t>
      </w:r>
      <w:hyperlink r:id="rId6" w:history="1">
        <w:r w:rsidR="009A488F" w:rsidRPr="00760D3A">
          <w:rPr>
            <w:rStyle w:val="Hyperlink"/>
            <w:rFonts w:ascii="Times New Roman" w:hAnsi="Times New Roman" w:cs="Times New Roman"/>
            <w:sz w:val="24"/>
            <w:szCs w:val="24"/>
          </w:rPr>
          <w:t>https://charisecourtney.com/2025/09/14/building-the-future-of-music-education-with-technology/</w:t>
        </w:r>
      </w:hyperlink>
    </w:p>
    <w:p w14:paraId="0472BF9E" w14:textId="1187751A" w:rsidR="00D5342E" w:rsidRDefault="00000000">
      <w:r>
        <w:t xml:space="preserve">Instructional technologists emphasize that carefully designed learning environments must blend equity, accessibility, and innovation to meet the needs of diverse learners (Abramo &amp; Pierce, 2013; Bauer, 2014). The revised proposal </w:t>
      </w:r>
      <w:r w:rsidR="00813D53">
        <w:t xml:space="preserve">for Charise Courtney Music Studio </w:t>
      </w:r>
      <w:r>
        <w:t>integrates these principles by centering design decisions on Universal Design for Learning (Rose &amp; Meyer, 2002). By intentionally combining professional-grade music technology with inclusive tools, the lab creates a space where students can develop creativity, problem-solving, and digital literacy skills essential for the 21st century.</w:t>
      </w:r>
    </w:p>
    <w:p w14:paraId="412DCA18"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Introduction</w:t>
      </w:r>
    </w:p>
    <w:p w14:paraId="14AECF51"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The Charise Courtney Music Studio seeks to develop a state-of-the-art Music Technology Lab to enhance student engagement, foster creativity, and provide hands-on experience with industry-standard software and hardware. This revised proposal reflects a $50,000 budget, adjusted from the original $60,000 plan, while also incorporating pilot AR/VR experiences for future-ready learning. The lab is designed to serve K–12 learners, homeschoolers, adult students, and students with disabilities through inclusive design and research-informed instructional strategies.</w:t>
      </w:r>
    </w:p>
    <w:p w14:paraId="11540CAD" w14:textId="77777777" w:rsidR="00D5342E" w:rsidRDefault="00000000">
      <w:r>
        <w:t>Research demonstrates that technology-based music programs often attract students who may not otherwise engage in traditional ensembles or music courses (Dammers, 2019). This includes learners with limited prior experience, students from underrepresented backgrounds, and those with exceptionalities who benefit from multimodal entry points into music learning. Accessibility features such as screen readers, adaptive input devices, and large-print keyboards further ensure that all students can meaningfully participate (Abramo &amp; Pierce, 2013).</w:t>
      </w:r>
    </w:p>
    <w:p w14:paraId="60770FCE"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Population</w:t>
      </w:r>
    </w:p>
    <w:p w14:paraId="52A62C33" w14:textId="77777777" w:rsidR="00D5342E" w:rsidRDefault="00000000">
      <w:r>
        <w:t>The integration of VR/AR expands the design beyond conventional lab environments. Tools such as Meta Quest headsets enable immersive experiences like virtual concert performances and music production in simulated studios (Pellas et al., 2021). Evidence shows that immersive VR enhances student motivation and knowledge retention compared to traditional methods (Makransky &amp; Mayer, 2022; Radianti et al., 2020). By blending traditional hardware with immersive technologies, the lab positions itself as a future-ready instructional space.</w:t>
      </w:r>
    </w:p>
    <w:p w14:paraId="4BFA7C9D"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This lab will serve K–12 students, homeschoolers, adult learners, students with disabilities (auditory, visual, and neurodivergent), aspiring producers, performers, and composers. It emphasizes inclusivity, Universal Design for Learning (UDL), and equitable access for all learners.</w:t>
      </w:r>
    </w:p>
    <w:p w14:paraId="638B75F0" w14:textId="77777777" w:rsidR="00D5342E" w:rsidRDefault="00000000">
      <w:r>
        <w:lastRenderedPageBreak/>
        <w:t>The design also supports differentiation by allowing learners to engage at multiple levels. For example, beginner students may use Quaver for guided explorations, while advanced learners can produce complex compositions in Logic Pro or Ableton (Bauer, 2014). By leveraging both structured and open-ended platforms, the lab provides flexible learning pathways aligned with UDL principles (Rose &amp; Meyer, 2002).</w:t>
      </w:r>
    </w:p>
    <w:p w14:paraId="78386F65"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Format</w:t>
      </w:r>
    </w:p>
    <w:p w14:paraId="28167585"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The traditional classroom lab format was chosen for its ability to support high-performance computing, stationary recording equipment, and professional-level sound design. Unlike mobile labs or open-plan commons, this design prioritizes accessibility, security, and acoustical treatment.</w:t>
      </w:r>
    </w:p>
    <w:p w14:paraId="00A74484" w14:textId="77777777" w:rsidR="00D5342E" w:rsidRDefault="00000000">
      <w:r>
        <w:t>The integration of VR/AR expands the design beyond conventional lab environments. Tools such as Meta Quest headsets enable immersive experiences like virtual concert performances and music production in simulated studios (Pellas et al., 2021). Evidence shows that immersive VR enhances student motivation and knowledge retention compared to traditional methods (Makransky &amp; Mayer, 2022; Radianti et al., 2020). By blending traditional hardware with immersive technologies, the lab positions itself as a future-ready instructional space.</w:t>
      </w:r>
    </w:p>
    <w:p w14:paraId="2BFC1D39"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Design</w:t>
      </w:r>
    </w:p>
    <w:p w14:paraId="01F9E010"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The lab layout includes adjustable desks, ergonomic seating, and an instructor station for monitoring and demonstration. AI-rendered design diagrams showcase a space that balances individualized instruction and peer collaboration. Minor modifications support AR/VR integration, such as VR-safe floor mats and AR-enabled iPads.</w:t>
      </w:r>
    </w:p>
    <w:p w14:paraId="6A15884F" w14:textId="77777777" w:rsidR="009A488F" w:rsidRDefault="009A488F">
      <w:pPr>
        <w:pStyle w:val="Heading2"/>
        <w:rPr>
          <w:rFonts w:ascii="Times New Roman" w:hAnsi="Times New Roman" w:cs="Times New Roman"/>
          <w:sz w:val="24"/>
          <w:szCs w:val="24"/>
        </w:rPr>
      </w:pPr>
    </w:p>
    <w:p w14:paraId="571B33A0" w14:textId="77777777" w:rsidR="009A488F" w:rsidRDefault="009A488F">
      <w:pPr>
        <w:pStyle w:val="Heading2"/>
        <w:rPr>
          <w:rFonts w:ascii="Times New Roman" w:hAnsi="Times New Roman" w:cs="Times New Roman"/>
          <w:sz w:val="24"/>
          <w:szCs w:val="24"/>
        </w:rPr>
      </w:pPr>
    </w:p>
    <w:p w14:paraId="49987005" w14:textId="77777777" w:rsidR="009A488F" w:rsidRDefault="009A488F">
      <w:pPr>
        <w:pStyle w:val="Heading2"/>
        <w:rPr>
          <w:rFonts w:ascii="Times New Roman" w:hAnsi="Times New Roman" w:cs="Times New Roman"/>
          <w:sz w:val="24"/>
          <w:szCs w:val="24"/>
        </w:rPr>
      </w:pPr>
    </w:p>
    <w:p w14:paraId="780E430F" w14:textId="77777777" w:rsidR="009A488F" w:rsidRDefault="009A488F">
      <w:pPr>
        <w:pStyle w:val="Heading2"/>
        <w:rPr>
          <w:rFonts w:ascii="Times New Roman" w:hAnsi="Times New Roman" w:cs="Times New Roman"/>
          <w:sz w:val="24"/>
          <w:szCs w:val="24"/>
        </w:rPr>
      </w:pPr>
    </w:p>
    <w:p w14:paraId="562F8F15" w14:textId="77777777" w:rsidR="009A488F" w:rsidRDefault="009A488F">
      <w:pPr>
        <w:pStyle w:val="Heading2"/>
        <w:rPr>
          <w:rFonts w:ascii="Times New Roman" w:hAnsi="Times New Roman" w:cs="Times New Roman"/>
          <w:sz w:val="24"/>
          <w:szCs w:val="24"/>
        </w:rPr>
      </w:pPr>
    </w:p>
    <w:p w14:paraId="79910366" w14:textId="77777777" w:rsidR="009A488F" w:rsidRDefault="009A488F">
      <w:pPr>
        <w:rPr>
          <w:rFonts w:ascii="Times New Roman" w:hAnsi="Times New Roman" w:cs="Times New Roman"/>
          <w:sz w:val="24"/>
          <w:szCs w:val="24"/>
        </w:rPr>
      </w:pPr>
    </w:p>
    <w:p w14:paraId="4B3C5A0A" w14:textId="77777777" w:rsidR="009A488F" w:rsidRDefault="009A488F">
      <w:pPr>
        <w:rPr>
          <w:rFonts w:ascii="Times New Roman" w:hAnsi="Times New Roman" w:cs="Times New Roman"/>
          <w:sz w:val="24"/>
          <w:szCs w:val="24"/>
        </w:rPr>
      </w:pPr>
    </w:p>
    <w:p w14:paraId="7966032B" w14:textId="77777777" w:rsidR="00813D53" w:rsidRDefault="00813D53">
      <w:pPr>
        <w:rPr>
          <w:rFonts w:ascii="Times New Roman" w:hAnsi="Times New Roman" w:cs="Times New Roman"/>
          <w:sz w:val="24"/>
          <w:szCs w:val="24"/>
        </w:rPr>
      </w:pPr>
    </w:p>
    <w:p w14:paraId="2EC2A152" w14:textId="77777777" w:rsidR="00813D53" w:rsidRDefault="00813D53">
      <w:pPr>
        <w:rPr>
          <w:rFonts w:ascii="Times New Roman" w:hAnsi="Times New Roman" w:cs="Times New Roman"/>
          <w:sz w:val="24"/>
          <w:szCs w:val="24"/>
        </w:rPr>
      </w:pPr>
    </w:p>
    <w:p w14:paraId="59B34DC7" w14:textId="77777777" w:rsidR="00813D53" w:rsidRDefault="00813D53">
      <w:pPr>
        <w:rPr>
          <w:rFonts w:ascii="Times New Roman" w:hAnsi="Times New Roman" w:cs="Times New Roman"/>
          <w:sz w:val="24"/>
          <w:szCs w:val="24"/>
        </w:rPr>
      </w:pPr>
    </w:p>
    <w:p w14:paraId="11DA2295" w14:textId="77777777" w:rsidR="00813D53" w:rsidRDefault="00813D53">
      <w:pPr>
        <w:rPr>
          <w:rFonts w:ascii="Times New Roman" w:hAnsi="Times New Roman" w:cs="Times New Roman"/>
          <w:sz w:val="24"/>
          <w:szCs w:val="24"/>
        </w:rPr>
      </w:pPr>
    </w:p>
    <w:p w14:paraId="1B373B97" w14:textId="3F959679" w:rsidR="00813D53" w:rsidRDefault="00813D53" w:rsidP="00813D53">
      <w:pPr>
        <w:pStyle w:val="Heading2"/>
        <w:rPr>
          <w:rFonts w:ascii="Times New Roman" w:hAnsi="Times New Roman" w:cs="Times New Roman"/>
          <w:sz w:val="24"/>
          <w:szCs w:val="24"/>
        </w:rPr>
      </w:pPr>
      <w:r w:rsidRPr="008A3279">
        <w:rPr>
          <w:rFonts w:ascii="Times New Roman" w:hAnsi="Times New Roman" w:cs="Times New Roman"/>
          <w:sz w:val="24"/>
          <w:szCs w:val="24"/>
        </w:rPr>
        <w:lastRenderedPageBreak/>
        <w:t>Budget Overview</w:t>
      </w:r>
    </w:p>
    <w:tbl>
      <w:tblPr>
        <w:tblStyle w:val="PlainTable1"/>
        <w:tblW w:w="0" w:type="auto"/>
        <w:tblLook w:val="0420" w:firstRow="1" w:lastRow="0" w:firstColumn="0" w:lastColumn="0" w:noHBand="0" w:noVBand="1"/>
      </w:tblPr>
      <w:tblGrid>
        <w:gridCol w:w="4428"/>
        <w:gridCol w:w="4428"/>
      </w:tblGrid>
      <w:tr w:rsidR="009A488F" w:rsidRPr="009A488F" w14:paraId="10A5D8E0" w14:textId="77777777" w:rsidTr="009A488F">
        <w:trPr>
          <w:cnfStyle w:val="100000000000" w:firstRow="1" w:lastRow="0" w:firstColumn="0" w:lastColumn="0" w:oddVBand="0" w:evenVBand="0" w:oddHBand="0" w:evenHBand="0" w:firstRowFirstColumn="0" w:firstRowLastColumn="0" w:lastRowFirstColumn="0" w:lastRowLastColumn="0"/>
        </w:trPr>
        <w:tc>
          <w:tcPr>
            <w:tcW w:w="4428" w:type="dxa"/>
          </w:tcPr>
          <w:p w14:paraId="55B685C5" w14:textId="77777777" w:rsidR="009A488F" w:rsidRDefault="009A488F" w:rsidP="009A488F">
            <w:pPr>
              <w:rPr>
                <w:b w:val="0"/>
                <w:bCs w:val="0"/>
              </w:rPr>
            </w:pPr>
            <w:r w:rsidRPr="008A3279">
              <w:rPr>
                <w:rFonts w:ascii="Times New Roman" w:hAnsi="Times New Roman" w:cs="Times New Roman"/>
                <w:sz w:val="24"/>
                <w:szCs w:val="24"/>
              </w:rPr>
              <w:t>**Total Estimated Budget: $49,800**</w:t>
            </w:r>
          </w:p>
          <w:p w14:paraId="5636AC0F" w14:textId="77777777" w:rsidR="009A488F" w:rsidRPr="009A488F" w:rsidRDefault="009A488F" w:rsidP="009A488F">
            <w:r>
              <w:t>Category / Item</w:t>
            </w:r>
          </w:p>
        </w:tc>
        <w:tc>
          <w:tcPr>
            <w:tcW w:w="4428" w:type="dxa"/>
          </w:tcPr>
          <w:p w14:paraId="0A739EF5" w14:textId="77777777" w:rsidR="009A488F" w:rsidRPr="009A488F" w:rsidRDefault="009A488F" w:rsidP="009A488F">
            <w:r>
              <w:t>Estimated Cost</w:t>
            </w:r>
          </w:p>
        </w:tc>
      </w:tr>
      <w:tr w:rsidR="009A488F" w:rsidRPr="009A488F" w14:paraId="3F0E7CB6"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457DC1DF" w14:textId="77777777" w:rsidR="009A488F" w:rsidRDefault="009A488F" w:rsidP="009A488F">
            <w:r>
              <w:t>Apple iMac 24” M3 (10 units)</w:t>
            </w:r>
          </w:p>
        </w:tc>
        <w:tc>
          <w:tcPr>
            <w:tcW w:w="4428" w:type="dxa"/>
          </w:tcPr>
          <w:p w14:paraId="04836035" w14:textId="77777777" w:rsidR="009A488F" w:rsidRDefault="009A488F" w:rsidP="009A488F">
            <w:r>
              <w:t>$16,000</w:t>
            </w:r>
          </w:p>
        </w:tc>
      </w:tr>
      <w:tr w:rsidR="009A488F" w:rsidRPr="009A488F" w14:paraId="3263658F" w14:textId="77777777" w:rsidTr="009A488F">
        <w:tc>
          <w:tcPr>
            <w:tcW w:w="4428" w:type="dxa"/>
          </w:tcPr>
          <w:p w14:paraId="29D33972" w14:textId="77777777" w:rsidR="009A488F" w:rsidRDefault="009A488F" w:rsidP="009A488F">
            <w:r>
              <w:t>Dual 24” 4K Monitors (10 sets)</w:t>
            </w:r>
          </w:p>
        </w:tc>
        <w:tc>
          <w:tcPr>
            <w:tcW w:w="4428" w:type="dxa"/>
          </w:tcPr>
          <w:p w14:paraId="274F9066" w14:textId="77777777" w:rsidR="009A488F" w:rsidRDefault="009A488F" w:rsidP="009A488F">
            <w:r>
              <w:t>$3,000</w:t>
            </w:r>
          </w:p>
        </w:tc>
      </w:tr>
      <w:tr w:rsidR="009A488F" w:rsidRPr="009A488F" w14:paraId="27909DFB"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2A3BE3E3" w14:textId="77777777" w:rsidR="009A488F" w:rsidRDefault="009A488F" w:rsidP="009A488F">
            <w:r>
              <w:t>Apple iPad (9th Gen, 10 units)</w:t>
            </w:r>
          </w:p>
        </w:tc>
        <w:tc>
          <w:tcPr>
            <w:tcW w:w="4428" w:type="dxa"/>
          </w:tcPr>
          <w:p w14:paraId="56A23323" w14:textId="77777777" w:rsidR="009A488F" w:rsidRDefault="009A488F" w:rsidP="009A488F">
            <w:r>
              <w:t>$4,000</w:t>
            </w:r>
          </w:p>
        </w:tc>
      </w:tr>
      <w:tr w:rsidR="009A488F" w:rsidRPr="009A488F" w14:paraId="7D6EB51D" w14:textId="77777777" w:rsidTr="009A488F">
        <w:tc>
          <w:tcPr>
            <w:tcW w:w="4428" w:type="dxa"/>
          </w:tcPr>
          <w:p w14:paraId="72097EF9" w14:textId="77777777" w:rsidR="009A488F" w:rsidRDefault="009A488F" w:rsidP="009A488F">
            <w:r>
              <w:t>MIDI Controllers (10 units)</w:t>
            </w:r>
          </w:p>
        </w:tc>
        <w:tc>
          <w:tcPr>
            <w:tcW w:w="4428" w:type="dxa"/>
          </w:tcPr>
          <w:p w14:paraId="7158F9A9" w14:textId="77777777" w:rsidR="009A488F" w:rsidRDefault="009A488F" w:rsidP="009A488F">
            <w:r>
              <w:t>$1,600</w:t>
            </w:r>
          </w:p>
        </w:tc>
      </w:tr>
      <w:tr w:rsidR="009A488F" w:rsidRPr="009A488F" w14:paraId="6CF183A1"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1B2708F5" w14:textId="77777777" w:rsidR="009A488F" w:rsidRDefault="009A488F" w:rsidP="009A488F">
            <w:r>
              <w:t>Audio Interfaces (5 units)</w:t>
            </w:r>
          </w:p>
        </w:tc>
        <w:tc>
          <w:tcPr>
            <w:tcW w:w="4428" w:type="dxa"/>
          </w:tcPr>
          <w:p w14:paraId="438F5660" w14:textId="77777777" w:rsidR="009A488F" w:rsidRDefault="009A488F" w:rsidP="009A488F">
            <w:r>
              <w:t>$1,000</w:t>
            </w:r>
          </w:p>
        </w:tc>
      </w:tr>
      <w:tr w:rsidR="009A488F" w:rsidRPr="009A488F" w14:paraId="6014C12C" w14:textId="77777777" w:rsidTr="009A488F">
        <w:tc>
          <w:tcPr>
            <w:tcW w:w="4428" w:type="dxa"/>
          </w:tcPr>
          <w:p w14:paraId="0853A0C4" w14:textId="77777777" w:rsidR="009A488F" w:rsidRDefault="009A488F" w:rsidP="009A488F">
            <w:r>
              <w:t>Microphones (7 units)</w:t>
            </w:r>
          </w:p>
        </w:tc>
        <w:tc>
          <w:tcPr>
            <w:tcW w:w="4428" w:type="dxa"/>
          </w:tcPr>
          <w:p w14:paraId="0B4B3AA0" w14:textId="77777777" w:rsidR="009A488F" w:rsidRDefault="009A488F" w:rsidP="009A488F">
            <w:r>
              <w:t>$1,500</w:t>
            </w:r>
          </w:p>
        </w:tc>
      </w:tr>
      <w:tr w:rsidR="009A488F" w:rsidRPr="009A488F" w14:paraId="5575DDDD"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1743A5E7" w14:textId="77777777" w:rsidR="009A488F" w:rsidRDefault="009A488F" w:rsidP="009A488F">
            <w:r>
              <w:t>Headphones (10 units)</w:t>
            </w:r>
          </w:p>
        </w:tc>
        <w:tc>
          <w:tcPr>
            <w:tcW w:w="4428" w:type="dxa"/>
          </w:tcPr>
          <w:p w14:paraId="19405E7F" w14:textId="77777777" w:rsidR="009A488F" w:rsidRDefault="009A488F" w:rsidP="009A488F">
            <w:r>
              <w:t>$1,500</w:t>
            </w:r>
          </w:p>
        </w:tc>
      </w:tr>
      <w:tr w:rsidR="009A488F" w:rsidRPr="009A488F" w14:paraId="453CA187" w14:textId="77777777" w:rsidTr="009A488F">
        <w:tc>
          <w:tcPr>
            <w:tcW w:w="4428" w:type="dxa"/>
          </w:tcPr>
          <w:p w14:paraId="25CD5C2D" w14:textId="77777777" w:rsidR="009A488F" w:rsidRDefault="009A488F" w:rsidP="009A488F">
            <w:r>
              <w:t>Studio Monitors (Instructor station)</w:t>
            </w:r>
          </w:p>
        </w:tc>
        <w:tc>
          <w:tcPr>
            <w:tcW w:w="4428" w:type="dxa"/>
          </w:tcPr>
          <w:p w14:paraId="5255EB9C" w14:textId="77777777" w:rsidR="009A488F" w:rsidRDefault="009A488F" w:rsidP="009A488F">
            <w:r>
              <w:t>$400</w:t>
            </w:r>
          </w:p>
        </w:tc>
      </w:tr>
      <w:tr w:rsidR="009A488F" w:rsidRPr="009A488F" w14:paraId="142918DC"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420D9A6D" w14:textId="77777777" w:rsidR="009A488F" w:rsidRDefault="009A488F" w:rsidP="009A488F">
            <w:r>
              <w:t xml:space="preserve">Software Licenses (Logic Pro, Ableton, Quaver, </w:t>
            </w:r>
            <w:proofErr w:type="spellStart"/>
            <w:r>
              <w:t>Noteflight</w:t>
            </w:r>
            <w:proofErr w:type="spellEnd"/>
            <w:r>
              <w:t>)</w:t>
            </w:r>
          </w:p>
        </w:tc>
        <w:tc>
          <w:tcPr>
            <w:tcW w:w="4428" w:type="dxa"/>
          </w:tcPr>
          <w:p w14:paraId="1EEA0E08" w14:textId="77777777" w:rsidR="009A488F" w:rsidRDefault="009A488F" w:rsidP="009A488F">
            <w:r>
              <w:t>$5,000</w:t>
            </w:r>
          </w:p>
        </w:tc>
      </w:tr>
      <w:tr w:rsidR="009A488F" w:rsidRPr="009A488F" w14:paraId="4233C691" w14:textId="77777777" w:rsidTr="009A488F">
        <w:tc>
          <w:tcPr>
            <w:tcW w:w="4428" w:type="dxa"/>
          </w:tcPr>
          <w:p w14:paraId="07AB5C22" w14:textId="77777777" w:rsidR="009A488F" w:rsidRDefault="009A488F" w:rsidP="009A488F">
            <w:r>
              <w:t>Ergonomic Desks &amp; Chairs</w:t>
            </w:r>
          </w:p>
        </w:tc>
        <w:tc>
          <w:tcPr>
            <w:tcW w:w="4428" w:type="dxa"/>
          </w:tcPr>
          <w:p w14:paraId="53FA3E45" w14:textId="77777777" w:rsidR="009A488F" w:rsidRDefault="009A488F" w:rsidP="009A488F">
            <w:r>
              <w:t>$7,000</w:t>
            </w:r>
          </w:p>
        </w:tc>
      </w:tr>
      <w:tr w:rsidR="009A488F" w:rsidRPr="009A488F" w14:paraId="5A9A8882"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575578EC" w14:textId="77777777" w:rsidR="009A488F" w:rsidRDefault="009A488F" w:rsidP="009A488F">
            <w:r>
              <w:t>Instructor Console</w:t>
            </w:r>
          </w:p>
        </w:tc>
        <w:tc>
          <w:tcPr>
            <w:tcW w:w="4428" w:type="dxa"/>
          </w:tcPr>
          <w:p w14:paraId="050CE42F" w14:textId="77777777" w:rsidR="009A488F" w:rsidRDefault="009A488F" w:rsidP="009A488F">
            <w:r>
              <w:t>$1,000</w:t>
            </w:r>
          </w:p>
        </w:tc>
      </w:tr>
      <w:tr w:rsidR="009A488F" w:rsidRPr="009A488F" w14:paraId="09F54543" w14:textId="77777777" w:rsidTr="009A488F">
        <w:tc>
          <w:tcPr>
            <w:tcW w:w="4428" w:type="dxa"/>
          </w:tcPr>
          <w:p w14:paraId="7573CE39" w14:textId="77777777" w:rsidR="009A488F" w:rsidRDefault="009A488F" w:rsidP="009A488F">
            <w:r>
              <w:t>Accessibility Tools</w:t>
            </w:r>
          </w:p>
        </w:tc>
        <w:tc>
          <w:tcPr>
            <w:tcW w:w="4428" w:type="dxa"/>
          </w:tcPr>
          <w:p w14:paraId="76BB493B" w14:textId="77777777" w:rsidR="009A488F" w:rsidRDefault="009A488F" w:rsidP="009A488F">
            <w:r>
              <w:t>$2,500</w:t>
            </w:r>
          </w:p>
        </w:tc>
      </w:tr>
      <w:tr w:rsidR="009A488F" w:rsidRPr="009A488F" w14:paraId="1FF50D6A"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216ED350" w14:textId="77777777" w:rsidR="009A488F" w:rsidRDefault="009A488F" w:rsidP="009A488F">
            <w:r>
              <w:t>Soundproofing (scaled)</w:t>
            </w:r>
          </w:p>
        </w:tc>
        <w:tc>
          <w:tcPr>
            <w:tcW w:w="4428" w:type="dxa"/>
          </w:tcPr>
          <w:p w14:paraId="33AD71D7" w14:textId="77777777" w:rsidR="009A488F" w:rsidRDefault="009A488F" w:rsidP="009A488F">
            <w:r>
              <w:t>$2,000</w:t>
            </w:r>
          </w:p>
        </w:tc>
      </w:tr>
      <w:tr w:rsidR="009A488F" w:rsidRPr="009A488F" w14:paraId="4BD896E1" w14:textId="77777777" w:rsidTr="009A488F">
        <w:tc>
          <w:tcPr>
            <w:tcW w:w="4428" w:type="dxa"/>
          </w:tcPr>
          <w:p w14:paraId="171059DA" w14:textId="77777777" w:rsidR="009A488F" w:rsidRDefault="009A488F" w:rsidP="009A488F">
            <w:r>
              <w:t>Security &amp; Network Upgrades</w:t>
            </w:r>
          </w:p>
        </w:tc>
        <w:tc>
          <w:tcPr>
            <w:tcW w:w="4428" w:type="dxa"/>
          </w:tcPr>
          <w:p w14:paraId="6953B877" w14:textId="77777777" w:rsidR="009A488F" w:rsidRDefault="009A488F" w:rsidP="009A488F">
            <w:r>
              <w:t>$2,000</w:t>
            </w:r>
          </w:p>
        </w:tc>
      </w:tr>
      <w:tr w:rsidR="009A488F" w:rsidRPr="009A488F" w14:paraId="5EAA09BC"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4F2113EC" w14:textId="77777777" w:rsidR="009A488F" w:rsidRDefault="009A488F" w:rsidP="009A488F">
            <w:r>
              <w:t>Professional Development</w:t>
            </w:r>
          </w:p>
        </w:tc>
        <w:tc>
          <w:tcPr>
            <w:tcW w:w="4428" w:type="dxa"/>
          </w:tcPr>
          <w:p w14:paraId="43062AF0" w14:textId="77777777" w:rsidR="009A488F" w:rsidRDefault="009A488F" w:rsidP="009A488F">
            <w:r>
              <w:t>$2,500</w:t>
            </w:r>
          </w:p>
        </w:tc>
      </w:tr>
      <w:tr w:rsidR="009A488F" w:rsidRPr="009A488F" w14:paraId="782B3997" w14:textId="77777777" w:rsidTr="009A488F">
        <w:tc>
          <w:tcPr>
            <w:tcW w:w="4428" w:type="dxa"/>
          </w:tcPr>
          <w:p w14:paraId="3C445540" w14:textId="77777777" w:rsidR="009A488F" w:rsidRDefault="009A488F" w:rsidP="009A488F">
            <w:r>
              <w:t>NAS Server &amp; Network Hardware</w:t>
            </w:r>
          </w:p>
        </w:tc>
        <w:tc>
          <w:tcPr>
            <w:tcW w:w="4428" w:type="dxa"/>
          </w:tcPr>
          <w:p w14:paraId="24875DEE" w14:textId="77777777" w:rsidR="009A488F" w:rsidRDefault="009A488F" w:rsidP="009A488F">
            <w:r>
              <w:t>$1,500</w:t>
            </w:r>
          </w:p>
        </w:tc>
      </w:tr>
      <w:tr w:rsidR="009A488F" w:rsidRPr="009A488F" w14:paraId="727D60A5"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2D4D56A9" w14:textId="77777777" w:rsidR="009A488F" w:rsidRDefault="009A488F" w:rsidP="009A488F">
            <w:r>
              <w:t>Cabling</w:t>
            </w:r>
          </w:p>
        </w:tc>
        <w:tc>
          <w:tcPr>
            <w:tcW w:w="4428" w:type="dxa"/>
          </w:tcPr>
          <w:p w14:paraId="0B024E2A" w14:textId="77777777" w:rsidR="009A488F" w:rsidRDefault="009A488F" w:rsidP="009A488F">
            <w:r>
              <w:t>$1,000</w:t>
            </w:r>
          </w:p>
        </w:tc>
      </w:tr>
      <w:tr w:rsidR="009A488F" w:rsidRPr="009A488F" w14:paraId="302F7362" w14:textId="77777777" w:rsidTr="009A488F">
        <w:tc>
          <w:tcPr>
            <w:tcW w:w="4428" w:type="dxa"/>
          </w:tcPr>
          <w:p w14:paraId="4EF18D68" w14:textId="77777777" w:rsidR="009A488F" w:rsidRDefault="009A488F" w:rsidP="009A488F">
            <w:r>
              <w:t>Pilot AR/VR: 3 Meta Quest 3 + 2 AR iPad Pros</w:t>
            </w:r>
          </w:p>
        </w:tc>
        <w:tc>
          <w:tcPr>
            <w:tcW w:w="4428" w:type="dxa"/>
          </w:tcPr>
          <w:p w14:paraId="23CAA52D" w14:textId="77777777" w:rsidR="009A488F" w:rsidRDefault="009A488F" w:rsidP="009A488F">
            <w:r>
              <w:t>$6,300</w:t>
            </w:r>
          </w:p>
        </w:tc>
      </w:tr>
      <w:tr w:rsidR="009A488F" w:rsidRPr="009A488F" w14:paraId="7D193E87" w14:textId="77777777" w:rsidTr="009A488F">
        <w:trPr>
          <w:cnfStyle w:val="000000100000" w:firstRow="0" w:lastRow="0" w:firstColumn="0" w:lastColumn="0" w:oddVBand="0" w:evenVBand="0" w:oddHBand="1" w:evenHBand="0" w:firstRowFirstColumn="0" w:firstRowLastColumn="0" w:lastRowFirstColumn="0" w:lastRowLastColumn="0"/>
        </w:trPr>
        <w:tc>
          <w:tcPr>
            <w:tcW w:w="4428" w:type="dxa"/>
          </w:tcPr>
          <w:p w14:paraId="276A4DBF" w14:textId="77777777" w:rsidR="009A488F" w:rsidRDefault="009A488F" w:rsidP="009A488F">
            <w:r>
              <w:t>Contingency</w:t>
            </w:r>
          </w:p>
        </w:tc>
        <w:tc>
          <w:tcPr>
            <w:tcW w:w="4428" w:type="dxa"/>
          </w:tcPr>
          <w:p w14:paraId="34355561" w14:textId="77777777" w:rsidR="009A488F" w:rsidRDefault="009A488F" w:rsidP="009A488F">
            <w:r>
              <w:t>$3,500</w:t>
            </w:r>
          </w:p>
        </w:tc>
      </w:tr>
      <w:tr w:rsidR="009A488F" w:rsidRPr="009A488F" w14:paraId="1D4800FD" w14:textId="77777777" w:rsidTr="009A488F">
        <w:tc>
          <w:tcPr>
            <w:tcW w:w="4428" w:type="dxa"/>
          </w:tcPr>
          <w:p w14:paraId="4C80CE82" w14:textId="77777777" w:rsidR="009A488F" w:rsidRDefault="009A488F" w:rsidP="009A488F">
            <w:r>
              <w:t>Total Estimated Budget</w:t>
            </w:r>
          </w:p>
        </w:tc>
        <w:tc>
          <w:tcPr>
            <w:tcW w:w="4428" w:type="dxa"/>
          </w:tcPr>
          <w:p w14:paraId="047F28AC" w14:textId="77777777" w:rsidR="009A488F" w:rsidRDefault="009A488F" w:rsidP="009A488F">
            <w:r>
              <w:t>$49,800</w:t>
            </w:r>
          </w:p>
        </w:tc>
      </w:tr>
    </w:tbl>
    <w:p w14:paraId="6E5AADB8" w14:textId="77777777" w:rsidR="009A488F" w:rsidRPr="009A488F" w:rsidRDefault="009A488F" w:rsidP="009A488F"/>
    <w:p w14:paraId="27C75472" w14:textId="77777777" w:rsidR="00D5342E" w:rsidRDefault="00000000">
      <w:r>
        <w:t>Furthermore, the lab emphasizes scalability and sustainability. The inclusion of a NAS server ensures reliable project storage and collaborative workflows across student groups. Cloud-based platforms such as Soundtrap and Noteflight extend collaboration beyond the classroom (Hal Leonard LLC, n.d.; Spotify AB, n.d.). These tools not only enhance creativity but also mirror industry practices, preparing learners for real-world applications in music production. Importantly, professional development for educators ensures that technology integration remains pedagogically sound and not merely focused on novelty (Bauer, 2014).</w:t>
      </w:r>
    </w:p>
    <w:p w14:paraId="24FF62C5"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Impact and Value</w:t>
      </w:r>
    </w:p>
    <w:p w14:paraId="747CF2BC"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This lab fosters student creativity, collaboration, and equitable access to music technology. It aligns with UDL principles by incorporating iPads, screen readers, adaptive hardware, and immersive VR/AR experiences. These investments expand participation beyond traditional ensembles, ensuring students with diverse needs can engage meaningfully in music-making.</w:t>
      </w:r>
    </w:p>
    <w:p w14:paraId="787907F6" w14:textId="77777777" w:rsidR="00D5342E" w:rsidRDefault="00000000">
      <w:r>
        <w:t>This proposal demonstrates a clear alignment between research and practice. It integrates inclusive design strategies, cutting-edge AR/VR technologies, and evidence-based pedagogical approaches to ensure equity and excellence in music education (Abramo &amp; Pierce, 2013; Bauer, 2014; Rose &amp; Meyer, 2002). By foregrounding accessibility and long-</w:t>
      </w:r>
      <w:r>
        <w:lastRenderedPageBreak/>
        <w:t>term adaptability, the Charise Courtney Music Studio’s computer lab reflects a model for other institutions seeking to balance innovation with responsible stewardship of resources.</w:t>
      </w:r>
    </w:p>
    <w:p w14:paraId="56335756" w14:textId="77777777" w:rsidR="002324BD" w:rsidRPr="008A3279" w:rsidRDefault="00000000">
      <w:pPr>
        <w:pStyle w:val="Heading2"/>
        <w:rPr>
          <w:rFonts w:ascii="Times New Roman" w:hAnsi="Times New Roman" w:cs="Times New Roman"/>
          <w:sz w:val="24"/>
          <w:szCs w:val="24"/>
        </w:rPr>
      </w:pPr>
      <w:r w:rsidRPr="008A3279">
        <w:rPr>
          <w:rFonts w:ascii="Times New Roman" w:hAnsi="Times New Roman" w:cs="Times New Roman"/>
          <w:sz w:val="24"/>
          <w:szCs w:val="24"/>
        </w:rPr>
        <w:t>Conclusion</w:t>
      </w:r>
    </w:p>
    <w:p w14:paraId="0AAA5889"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t>The Music Technology Lab at Charise Courtney Music Studio was intentionally designed to balance innovation, accessibility, and sustainability within a $50,000 budget. It integrates AR/VR as a pilot program, promotes 21st-century skills, and demonstrates a forward-thinking approach to inclusive music education.</w:t>
      </w:r>
    </w:p>
    <w:p w14:paraId="44132E86" w14:textId="77777777" w:rsidR="002324BD" w:rsidRPr="008A3279" w:rsidRDefault="00000000">
      <w:pPr>
        <w:rPr>
          <w:rFonts w:ascii="Times New Roman" w:hAnsi="Times New Roman" w:cs="Times New Roman"/>
          <w:sz w:val="24"/>
          <w:szCs w:val="24"/>
        </w:rPr>
      </w:pPr>
      <w:r w:rsidRPr="008A3279">
        <w:rPr>
          <w:rFonts w:ascii="Times New Roman" w:hAnsi="Times New Roman" w:cs="Times New Roman"/>
          <w:sz w:val="24"/>
          <w:szCs w:val="24"/>
        </w:rPr>
        <w:br w:type="page"/>
      </w:r>
    </w:p>
    <w:p w14:paraId="2EECB1B5" w14:textId="77777777" w:rsidR="002324BD" w:rsidRPr="008A3279" w:rsidRDefault="00000000">
      <w:pPr>
        <w:pStyle w:val="Heading1"/>
        <w:rPr>
          <w:rFonts w:ascii="Times New Roman" w:hAnsi="Times New Roman" w:cs="Times New Roman"/>
          <w:sz w:val="24"/>
          <w:szCs w:val="24"/>
        </w:rPr>
      </w:pPr>
      <w:r w:rsidRPr="008A3279">
        <w:rPr>
          <w:rFonts w:ascii="Times New Roman" w:hAnsi="Times New Roman" w:cs="Times New Roman"/>
          <w:sz w:val="24"/>
          <w:szCs w:val="24"/>
        </w:rPr>
        <w:lastRenderedPageBreak/>
        <w:t>Appendix: Resource Guide</w:t>
      </w:r>
    </w:p>
    <w:p w14:paraId="496A3D3A" w14:textId="77777777" w:rsidR="002324BD" w:rsidRPr="008A3279" w:rsidRDefault="00000000">
      <w:pPr>
        <w:pStyle w:val="ListBullet"/>
        <w:rPr>
          <w:rFonts w:ascii="Times New Roman" w:hAnsi="Times New Roman" w:cs="Times New Roman"/>
          <w:sz w:val="24"/>
          <w:szCs w:val="24"/>
        </w:rPr>
      </w:pPr>
      <w:proofErr w:type="spellStart"/>
      <w:r w:rsidRPr="008A3279">
        <w:rPr>
          <w:rFonts w:ascii="Times New Roman" w:hAnsi="Times New Roman" w:cs="Times New Roman"/>
          <w:sz w:val="24"/>
          <w:szCs w:val="24"/>
          <w:lang w:val="es-ES"/>
        </w:rPr>
        <w:t>Abramo</w:t>
      </w:r>
      <w:proofErr w:type="spellEnd"/>
      <w:r w:rsidRPr="008A3279">
        <w:rPr>
          <w:rFonts w:ascii="Times New Roman" w:hAnsi="Times New Roman" w:cs="Times New Roman"/>
          <w:sz w:val="24"/>
          <w:szCs w:val="24"/>
          <w:lang w:val="es-ES"/>
        </w:rPr>
        <w:t xml:space="preserve">, J. M., &amp; Pierce, A. (2013). </w:t>
      </w:r>
      <w:r w:rsidRPr="008A3279">
        <w:rPr>
          <w:rFonts w:ascii="Times New Roman" w:hAnsi="Times New Roman" w:cs="Times New Roman"/>
          <w:sz w:val="24"/>
          <w:szCs w:val="24"/>
        </w:rPr>
        <w:t>An inclusive instrumental music classroom: A review of the literature. Bulletin of the Council for Research in Music Education, (195), 9–23. https://doi.org/10.5406/bulcouresmusedu.195.0009</w:t>
      </w:r>
    </w:p>
    <w:p w14:paraId="0BBBB70F"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Reviews best practices for accessibility in music education. Relevant for UDL-aligned purchases such as adaptive keyboards. Peer-reviewed source.</w:t>
      </w:r>
    </w:p>
    <w:p w14:paraId="3B6A7DE3" w14:textId="77777777" w:rsidR="002324BD" w:rsidRPr="008A3279" w:rsidRDefault="00000000">
      <w:pPr>
        <w:pStyle w:val="ListBullet"/>
        <w:rPr>
          <w:rFonts w:ascii="Times New Roman" w:hAnsi="Times New Roman" w:cs="Times New Roman"/>
          <w:sz w:val="24"/>
          <w:szCs w:val="24"/>
        </w:rPr>
      </w:pPr>
      <w:r w:rsidRPr="008A3279">
        <w:rPr>
          <w:rFonts w:ascii="Times New Roman" w:hAnsi="Times New Roman" w:cs="Times New Roman"/>
          <w:sz w:val="24"/>
          <w:szCs w:val="24"/>
        </w:rPr>
        <w:t>Bauer, W. I. (2014). Music learning today: Digital pedagogy for creating, performing, and responding to music. Oxford University Press.</w:t>
      </w:r>
    </w:p>
    <w:p w14:paraId="7F6C3338"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Explores digital tools for creativity and differentiation. Supports DAWs, iMacs, and iPads. Widely cited text.</w:t>
      </w:r>
    </w:p>
    <w:p w14:paraId="74F5EFAA" w14:textId="77777777" w:rsidR="002324BD" w:rsidRPr="008A3279" w:rsidRDefault="00000000">
      <w:pPr>
        <w:pStyle w:val="ListBullet"/>
        <w:rPr>
          <w:rFonts w:ascii="Times New Roman" w:hAnsi="Times New Roman" w:cs="Times New Roman"/>
          <w:sz w:val="24"/>
          <w:szCs w:val="24"/>
        </w:rPr>
      </w:pPr>
      <w:r w:rsidRPr="008A3279">
        <w:rPr>
          <w:rFonts w:ascii="Times New Roman" w:hAnsi="Times New Roman" w:cs="Times New Roman"/>
          <w:sz w:val="24"/>
          <w:szCs w:val="24"/>
        </w:rPr>
        <w:t>Dammers, R. J. (2019). Technology-based music classes in high schools in the United States: A descriptive analysis. Journal of Music, Technology &amp; Education, 12(1), 7–25. https://doi.org/10.1386/jmte.12.1.7_1</w:t>
      </w:r>
    </w:p>
    <w:p w14:paraId="19F8446C"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Analyzes demographics of tech-based music courses. Supports argument that labs expand student participation. Peer-reviewed.</w:t>
      </w:r>
    </w:p>
    <w:p w14:paraId="646599DB" w14:textId="77777777" w:rsidR="00462424" w:rsidRPr="008A3279" w:rsidRDefault="00462424" w:rsidP="00462424">
      <w:pPr>
        <w:pStyle w:val="ListBullet"/>
        <w:rPr>
          <w:rFonts w:ascii="Times New Roman" w:hAnsi="Times New Roman" w:cs="Times New Roman"/>
          <w:sz w:val="24"/>
          <w:szCs w:val="24"/>
        </w:rPr>
      </w:pPr>
      <w:r w:rsidRPr="008A3279">
        <w:rPr>
          <w:rFonts w:ascii="Times New Roman" w:hAnsi="Times New Roman" w:cs="Times New Roman"/>
          <w:sz w:val="24"/>
          <w:szCs w:val="24"/>
        </w:rPr>
        <w:t xml:space="preserve">Hal Leonard LLC. (n.d.). </w:t>
      </w:r>
      <w:proofErr w:type="spellStart"/>
      <w:r w:rsidRPr="008A3279">
        <w:rPr>
          <w:rFonts w:ascii="Times New Roman" w:hAnsi="Times New Roman" w:cs="Times New Roman"/>
          <w:sz w:val="24"/>
          <w:szCs w:val="24"/>
        </w:rPr>
        <w:t>Noteflight</w:t>
      </w:r>
      <w:proofErr w:type="spellEnd"/>
      <w:r w:rsidRPr="008A3279">
        <w:rPr>
          <w:rFonts w:ascii="Times New Roman" w:hAnsi="Times New Roman" w:cs="Times New Roman"/>
          <w:sz w:val="24"/>
          <w:szCs w:val="24"/>
        </w:rPr>
        <w:t xml:space="preserve"> [Web-based music notation software]. https://www.noteflight.com/</w:t>
      </w:r>
    </w:p>
    <w:p w14:paraId="28CC505C" w14:textId="77777777" w:rsidR="00462424" w:rsidRPr="009A488F" w:rsidRDefault="00462424">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Online platform for notation and collaboration. Justifies notation license.</w:t>
      </w:r>
    </w:p>
    <w:p w14:paraId="41339F2E" w14:textId="77777777" w:rsidR="002324BD" w:rsidRPr="008A3279" w:rsidRDefault="00000000">
      <w:pPr>
        <w:pStyle w:val="ListBullet"/>
        <w:rPr>
          <w:rFonts w:ascii="Times New Roman" w:hAnsi="Times New Roman" w:cs="Times New Roman"/>
          <w:sz w:val="24"/>
          <w:szCs w:val="24"/>
        </w:rPr>
      </w:pPr>
      <w:r w:rsidRPr="008A3279">
        <w:rPr>
          <w:rFonts w:ascii="Times New Roman" w:hAnsi="Times New Roman" w:cs="Times New Roman"/>
          <w:sz w:val="24"/>
          <w:szCs w:val="24"/>
        </w:rPr>
        <w:t>Makransky, G., &amp; Mayer, R. E. (2022). Benefits of immersive VR for science learning. Educational Psychology Review, 34, 1771–1797. https://doi.org/10.1007/s10648-021-09623-9</w:t>
      </w:r>
    </w:p>
    <w:p w14:paraId="746E85AB"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Finds VR enhances retention and engagement. Justifies immersive AR/VR additions. Peer-reviewed.</w:t>
      </w:r>
    </w:p>
    <w:p w14:paraId="4F0AE8C8" w14:textId="77777777" w:rsidR="009A488F" w:rsidRPr="008A3279" w:rsidRDefault="009A488F" w:rsidP="009A488F">
      <w:pPr>
        <w:pStyle w:val="ListBullet"/>
        <w:rPr>
          <w:rFonts w:ascii="Times New Roman" w:hAnsi="Times New Roman" w:cs="Times New Roman"/>
          <w:sz w:val="24"/>
          <w:szCs w:val="24"/>
        </w:rPr>
      </w:pPr>
      <w:r w:rsidRPr="008A3279">
        <w:rPr>
          <w:rFonts w:ascii="Times New Roman" w:hAnsi="Times New Roman" w:cs="Times New Roman"/>
          <w:sz w:val="24"/>
          <w:szCs w:val="24"/>
        </w:rPr>
        <w:t>OpenAI. (2025). ChatGPT (May 2025 version) [Large language model]. https://chat.openai.com/</w:t>
      </w:r>
    </w:p>
    <w:p w14:paraId="70911DA4" w14:textId="77777777" w:rsidR="009A488F" w:rsidRPr="009A488F" w:rsidRDefault="009A488F">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 xml:space="preserve">Demonstrates AI's role in lesson planning, proposals, and lab visualization. Cutting-edge, </w:t>
      </w:r>
      <w:proofErr w:type="gramStart"/>
      <w:r w:rsidRPr="009A488F">
        <w:rPr>
          <w:rFonts w:ascii="Times New Roman" w:eastAsiaTheme="majorEastAsia" w:hAnsi="Times New Roman" w:cs="Times New Roman"/>
          <w:color w:val="365F91" w:themeColor="accent1" w:themeShade="BF"/>
          <w:sz w:val="24"/>
          <w:szCs w:val="24"/>
        </w:rPr>
        <w:t>industry-recognized</w:t>
      </w:r>
      <w:proofErr w:type="gramEnd"/>
      <w:r w:rsidRPr="009A488F">
        <w:rPr>
          <w:rFonts w:ascii="Times New Roman" w:eastAsiaTheme="majorEastAsia" w:hAnsi="Times New Roman" w:cs="Times New Roman"/>
          <w:color w:val="365F91" w:themeColor="accent1" w:themeShade="BF"/>
          <w:sz w:val="24"/>
          <w:szCs w:val="24"/>
        </w:rPr>
        <w:t>.</w:t>
      </w:r>
    </w:p>
    <w:p w14:paraId="0A2B0661" w14:textId="77777777" w:rsidR="002324BD" w:rsidRPr="008A3279" w:rsidRDefault="00000000">
      <w:pPr>
        <w:pStyle w:val="ListBullet"/>
        <w:rPr>
          <w:rFonts w:ascii="Times New Roman" w:hAnsi="Times New Roman" w:cs="Times New Roman"/>
          <w:sz w:val="24"/>
          <w:szCs w:val="24"/>
        </w:rPr>
      </w:pPr>
      <w:r w:rsidRPr="008A3279">
        <w:rPr>
          <w:rFonts w:ascii="Times New Roman" w:hAnsi="Times New Roman" w:cs="Times New Roman"/>
          <w:sz w:val="24"/>
          <w:szCs w:val="24"/>
        </w:rPr>
        <w:t>Pellas, N., Mystakidis, S., &amp; Kazanidis, I. (2021). Immersive virtual reality in K-12 and higher education. Computers &amp; Education, 147, 103778. https://doi.org/10.1016/j.compedu.2019.103778</w:t>
      </w:r>
    </w:p>
    <w:p w14:paraId="2FA07CFF"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Systematic review of VR in K-12. Supports integration of VR in lab. Peer-reviewed.</w:t>
      </w:r>
    </w:p>
    <w:p w14:paraId="3AE82099" w14:textId="77777777" w:rsidR="002324BD" w:rsidRPr="009A488F" w:rsidRDefault="00000000" w:rsidP="009A488F">
      <w:pPr>
        <w:rPr>
          <w:rFonts w:ascii="Times New Roman" w:eastAsiaTheme="majorEastAsia" w:hAnsi="Times New Roman" w:cs="Times New Roman"/>
          <w:color w:val="365F91" w:themeColor="accent1" w:themeShade="BF"/>
          <w:sz w:val="24"/>
          <w:szCs w:val="24"/>
        </w:rPr>
      </w:pPr>
      <w:r w:rsidRPr="008A3279">
        <w:rPr>
          <w:rFonts w:ascii="Times New Roman" w:hAnsi="Times New Roman" w:cs="Times New Roman"/>
          <w:sz w:val="24"/>
          <w:szCs w:val="24"/>
        </w:rPr>
        <w:lastRenderedPageBreak/>
        <w:t xml:space="preserve">Radianti, J., Majchrzak, T. A., Fromm, J., &amp; Wohlgenannt, I. (2020). A systematic review of immersive </w:t>
      </w:r>
      <w:r w:rsidRPr="009A488F">
        <w:rPr>
          <w:rFonts w:ascii="Times New Roman" w:hAnsi="Times New Roman" w:cs="Times New Roman"/>
          <w:color w:val="000000" w:themeColor="text1"/>
          <w:sz w:val="24"/>
          <w:szCs w:val="24"/>
        </w:rPr>
        <w:t xml:space="preserve">virtual reality applications. Computers &amp; Education, 147, </w:t>
      </w:r>
      <w:r w:rsidRPr="009A488F">
        <w:rPr>
          <w:rFonts w:ascii="Times New Roman" w:eastAsiaTheme="majorEastAsia" w:hAnsi="Times New Roman" w:cs="Times New Roman"/>
          <w:color w:val="000000" w:themeColor="text1"/>
          <w:sz w:val="24"/>
          <w:szCs w:val="24"/>
        </w:rPr>
        <w:t>103778. https://doi.org/10.1016/j.compedu.2019.103778</w:t>
      </w:r>
    </w:p>
    <w:p w14:paraId="76375EE0" w14:textId="77777777" w:rsidR="002324BD" w:rsidRPr="009A488F"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Identifies effective VR classroom designs. Supports safe VR lab design. Peer-reviewed.</w:t>
      </w:r>
    </w:p>
    <w:p w14:paraId="453FBAA6" w14:textId="77777777" w:rsidR="00D5342E" w:rsidRDefault="00000000">
      <w:r>
        <w:t>The integration of VR/AR expands the design beyond conventional lab environments. Tools such as Meta Quest headsets enable immersive experiences like virtual concert performances and music production in simulated studios (Pellas et al., 2021). Evidence shows that immersive VR enhances student motivation and knowledge retention compared to traditional methods (Makransky &amp; Mayer, 2022; Radianti et al., 2020). By blending traditional hardware with immersive technologies, the lab positions itself as a future-ready instructional space.</w:t>
      </w:r>
    </w:p>
    <w:p w14:paraId="38E85523" w14:textId="77777777" w:rsidR="009A488F" w:rsidRPr="008A3279" w:rsidRDefault="009A488F" w:rsidP="009A488F">
      <w:pPr>
        <w:pStyle w:val="ListBullet"/>
        <w:rPr>
          <w:rFonts w:ascii="Times New Roman" w:hAnsi="Times New Roman" w:cs="Times New Roman"/>
          <w:sz w:val="24"/>
          <w:szCs w:val="24"/>
        </w:rPr>
      </w:pPr>
      <w:r w:rsidRPr="008A3279">
        <w:rPr>
          <w:rFonts w:ascii="Times New Roman" w:hAnsi="Times New Roman" w:cs="Times New Roman"/>
          <w:sz w:val="24"/>
          <w:szCs w:val="24"/>
        </w:rPr>
        <w:t>Rose, D. H., &amp; Meyer, A. (2002). Teaching every student in the digital age: Universal Design for Learning. Association for Supervision and Curriculum Development.</w:t>
      </w:r>
    </w:p>
    <w:p w14:paraId="4416E998" w14:textId="77777777" w:rsidR="009A488F" w:rsidRPr="009A488F" w:rsidRDefault="009A488F">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Introduces UDL principles. Supports justification for accessibility features. Foundational text on UDL.</w:t>
      </w:r>
    </w:p>
    <w:p w14:paraId="3E0C49CE" w14:textId="77777777" w:rsidR="002324BD" w:rsidRPr="008A3279" w:rsidRDefault="00000000">
      <w:pPr>
        <w:pStyle w:val="ListBullet"/>
        <w:rPr>
          <w:rFonts w:ascii="Times New Roman" w:hAnsi="Times New Roman" w:cs="Times New Roman"/>
          <w:sz w:val="24"/>
          <w:szCs w:val="24"/>
        </w:rPr>
      </w:pPr>
      <w:r w:rsidRPr="008A3279">
        <w:rPr>
          <w:rFonts w:ascii="Times New Roman" w:hAnsi="Times New Roman" w:cs="Times New Roman"/>
          <w:sz w:val="24"/>
          <w:szCs w:val="24"/>
        </w:rPr>
        <w:t>Spotify AB. (n.d.). Soundtrap [Online music production software]. https://www.soundtrap.com/</w:t>
      </w:r>
    </w:p>
    <w:p w14:paraId="787838A7" w14:textId="77777777" w:rsidR="002324BD" w:rsidRDefault="00000000">
      <w:pPr>
        <w:rPr>
          <w:rFonts w:ascii="Times New Roman" w:eastAsiaTheme="majorEastAsia" w:hAnsi="Times New Roman" w:cs="Times New Roman"/>
          <w:color w:val="365F91" w:themeColor="accent1" w:themeShade="BF"/>
          <w:sz w:val="24"/>
          <w:szCs w:val="24"/>
        </w:rPr>
      </w:pPr>
      <w:r w:rsidRPr="009A488F">
        <w:rPr>
          <w:rFonts w:ascii="Times New Roman" w:eastAsiaTheme="majorEastAsia" w:hAnsi="Times New Roman" w:cs="Times New Roman"/>
          <w:color w:val="365F91" w:themeColor="accent1" w:themeShade="BF"/>
          <w:sz w:val="24"/>
          <w:szCs w:val="24"/>
        </w:rPr>
        <w:t>Cloud-based DAW for collaboration. Extends lab learning beyond classroom. Industry-recognized.</w:t>
      </w:r>
    </w:p>
    <w:p w14:paraId="3722502F" w14:textId="77777777" w:rsidR="009A488F" w:rsidRDefault="009A488F">
      <w:pPr>
        <w:rPr>
          <w:rFonts w:ascii="Times New Roman" w:eastAsiaTheme="majorEastAsia" w:hAnsi="Times New Roman" w:cs="Times New Roman"/>
          <w:color w:val="365F91" w:themeColor="accent1" w:themeShade="BF"/>
          <w:sz w:val="24"/>
          <w:szCs w:val="24"/>
        </w:rPr>
      </w:pPr>
    </w:p>
    <w:p w14:paraId="3A6AFC1B" w14:textId="77777777" w:rsidR="009A488F" w:rsidRDefault="009A488F">
      <w:pPr>
        <w:rPr>
          <w:rFonts w:ascii="Times New Roman" w:eastAsiaTheme="majorEastAsia" w:hAnsi="Times New Roman" w:cs="Times New Roman"/>
          <w:color w:val="365F91" w:themeColor="accent1" w:themeShade="BF"/>
          <w:sz w:val="24"/>
          <w:szCs w:val="24"/>
        </w:rPr>
      </w:pPr>
    </w:p>
    <w:p w14:paraId="35567A44" w14:textId="77777777" w:rsidR="009A488F" w:rsidRDefault="009A488F">
      <w:pPr>
        <w:rPr>
          <w:rFonts w:ascii="Times New Roman" w:eastAsiaTheme="majorEastAsia" w:hAnsi="Times New Roman" w:cs="Times New Roman"/>
          <w:color w:val="365F91" w:themeColor="accent1" w:themeShade="BF"/>
          <w:sz w:val="24"/>
          <w:szCs w:val="24"/>
        </w:rPr>
      </w:pPr>
    </w:p>
    <w:p w14:paraId="519D501A" w14:textId="77777777" w:rsidR="009A488F" w:rsidRDefault="009A488F">
      <w:pPr>
        <w:rPr>
          <w:rFonts w:ascii="Times New Roman" w:eastAsiaTheme="majorEastAsia" w:hAnsi="Times New Roman" w:cs="Times New Roman"/>
          <w:color w:val="365F91" w:themeColor="accent1" w:themeShade="BF"/>
          <w:sz w:val="24"/>
          <w:szCs w:val="24"/>
        </w:rPr>
      </w:pPr>
    </w:p>
    <w:p w14:paraId="1B16E7A3" w14:textId="77777777" w:rsidR="009A488F" w:rsidRDefault="009A488F">
      <w:pPr>
        <w:rPr>
          <w:rFonts w:ascii="Times New Roman" w:eastAsiaTheme="majorEastAsia" w:hAnsi="Times New Roman" w:cs="Times New Roman"/>
          <w:color w:val="365F91" w:themeColor="accent1" w:themeShade="BF"/>
          <w:sz w:val="24"/>
          <w:szCs w:val="24"/>
        </w:rPr>
      </w:pPr>
    </w:p>
    <w:p w14:paraId="58C12B29" w14:textId="77777777" w:rsidR="009A488F" w:rsidRDefault="009A488F">
      <w:pPr>
        <w:rPr>
          <w:rFonts w:ascii="Times New Roman" w:eastAsiaTheme="majorEastAsia" w:hAnsi="Times New Roman" w:cs="Times New Roman"/>
          <w:color w:val="365F91" w:themeColor="accent1" w:themeShade="BF"/>
          <w:sz w:val="24"/>
          <w:szCs w:val="24"/>
        </w:rPr>
      </w:pPr>
    </w:p>
    <w:p w14:paraId="05A1A0A9" w14:textId="77777777" w:rsidR="009A488F" w:rsidRDefault="009A488F">
      <w:pPr>
        <w:rPr>
          <w:rFonts w:ascii="Times New Roman" w:eastAsiaTheme="majorEastAsia" w:hAnsi="Times New Roman" w:cs="Times New Roman"/>
          <w:color w:val="365F91" w:themeColor="accent1" w:themeShade="BF"/>
          <w:sz w:val="24"/>
          <w:szCs w:val="24"/>
        </w:rPr>
      </w:pPr>
    </w:p>
    <w:p w14:paraId="249D21ED" w14:textId="77777777" w:rsidR="009A488F" w:rsidRDefault="009A488F">
      <w:pPr>
        <w:rPr>
          <w:rFonts w:ascii="Times New Roman" w:eastAsiaTheme="majorEastAsia" w:hAnsi="Times New Roman" w:cs="Times New Roman"/>
          <w:color w:val="365F91" w:themeColor="accent1" w:themeShade="BF"/>
          <w:sz w:val="24"/>
          <w:szCs w:val="24"/>
        </w:rPr>
      </w:pPr>
    </w:p>
    <w:p w14:paraId="3B2B5338" w14:textId="77777777" w:rsidR="009A488F" w:rsidRDefault="009A488F">
      <w:pPr>
        <w:rPr>
          <w:rFonts w:ascii="Times New Roman" w:eastAsiaTheme="majorEastAsia" w:hAnsi="Times New Roman" w:cs="Times New Roman"/>
          <w:color w:val="365F91" w:themeColor="accent1" w:themeShade="BF"/>
          <w:sz w:val="24"/>
          <w:szCs w:val="24"/>
        </w:rPr>
      </w:pPr>
    </w:p>
    <w:p w14:paraId="0824682F" w14:textId="77777777" w:rsidR="009A488F" w:rsidRDefault="009A488F">
      <w:pPr>
        <w:rPr>
          <w:rFonts w:ascii="Times New Roman" w:eastAsiaTheme="majorEastAsia" w:hAnsi="Times New Roman" w:cs="Times New Roman"/>
          <w:color w:val="365F91" w:themeColor="accent1" w:themeShade="BF"/>
          <w:sz w:val="24"/>
          <w:szCs w:val="24"/>
        </w:rPr>
      </w:pPr>
    </w:p>
    <w:p w14:paraId="148F03AB" w14:textId="77777777" w:rsidR="009A488F" w:rsidRDefault="009A488F">
      <w:pPr>
        <w:rPr>
          <w:rFonts w:ascii="Times New Roman" w:eastAsiaTheme="majorEastAsia" w:hAnsi="Times New Roman" w:cs="Times New Roman"/>
          <w:color w:val="365F91" w:themeColor="accent1" w:themeShade="BF"/>
          <w:sz w:val="24"/>
          <w:szCs w:val="24"/>
        </w:rPr>
      </w:pPr>
    </w:p>
    <w:p w14:paraId="4D8C7037" w14:textId="77777777" w:rsidR="009A488F" w:rsidRDefault="009A488F" w:rsidP="009A488F">
      <w:pPr>
        <w:jc w:val="center"/>
        <w:rPr>
          <w:rFonts w:ascii="Times New Roman" w:eastAsiaTheme="majorEastAsia" w:hAnsi="Times New Roman" w:cs="Times New Roman"/>
          <w:color w:val="365F91" w:themeColor="accent1" w:themeShade="BF"/>
          <w:sz w:val="24"/>
          <w:szCs w:val="24"/>
        </w:rPr>
      </w:pPr>
      <w:r>
        <w:rPr>
          <w:rFonts w:ascii="Times New Roman" w:eastAsiaTheme="majorEastAsia" w:hAnsi="Times New Roman" w:cs="Times New Roman"/>
          <w:color w:val="365F91" w:themeColor="accent1" w:themeShade="BF"/>
          <w:sz w:val="24"/>
          <w:szCs w:val="24"/>
        </w:rPr>
        <w:lastRenderedPageBreak/>
        <w:t>References</w:t>
      </w:r>
    </w:p>
    <w:p w14:paraId="1FB9D78F" w14:textId="77777777" w:rsidR="009A488F" w:rsidRDefault="009A488F" w:rsidP="009A488F">
      <w:pPr>
        <w:pStyle w:val="NormalWeb"/>
        <w:ind w:left="720" w:hanging="720"/>
      </w:pPr>
      <w:r w:rsidRPr="00212B68">
        <w:t xml:space="preserve">Abramo, J. M., &amp; Pierce, A. (2013). </w:t>
      </w:r>
      <w:r>
        <w:t xml:space="preserve">An inclusive instrumental music classroom: A review of the literature. </w:t>
      </w:r>
      <w:r>
        <w:rPr>
          <w:rStyle w:val="Emphasis"/>
        </w:rPr>
        <w:t>Bulletin of the Council for Research in Music Education, (195),</w:t>
      </w:r>
      <w:r>
        <w:t xml:space="preserve"> 9–23. </w:t>
      </w:r>
      <w:hyperlink r:id="rId7" w:tgtFrame="_new" w:history="1">
        <w:r>
          <w:rPr>
            <w:rStyle w:val="Hyperlink"/>
          </w:rPr>
          <w:t>https://doi.org/10.5406/bulcouresmusedu.195.0009</w:t>
        </w:r>
      </w:hyperlink>
    </w:p>
    <w:p w14:paraId="378F39CE" w14:textId="77777777" w:rsidR="009A488F" w:rsidRDefault="009A488F" w:rsidP="009A488F">
      <w:pPr>
        <w:pStyle w:val="NormalWeb"/>
        <w:ind w:left="720" w:hanging="720"/>
      </w:pPr>
      <w:r>
        <w:t xml:space="preserve">Bauer, W. I. (2014). </w:t>
      </w:r>
      <w:r>
        <w:rPr>
          <w:rStyle w:val="Emphasis"/>
        </w:rPr>
        <w:t>Music learning today: Digital pedagogy for creating, performing, and responding to music.</w:t>
      </w:r>
      <w:r>
        <w:t xml:space="preserve"> Oxford University Press.</w:t>
      </w:r>
    </w:p>
    <w:p w14:paraId="40CFB2FA" w14:textId="34AB5F77" w:rsidR="00C25D16" w:rsidRDefault="00C25D16" w:rsidP="009A488F">
      <w:pPr>
        <w:pStyle w:val="NormalWeb"/>
        <w:ind w:left="720" w:hanging="720"/>
      </w:pPr>
      <w:r>
        <w:t>Courtney, C. (2025). Computer Lab Proposal [Unpublished Proposal]. American College of Education.</w:t>
      </w:r>
    </w:p>
    <w:p w14:paraId="0CA957CD" w14:textId="77777777" w:rsidR="009A488F" w:rsidRDefault="009A488F" w:rsidP="009A488F">
      <w:pPr>
        <w:pStyle w:val="NormalWeb"/>
        <w:ind w:left="720" w:hanging="720"/>
      </w:pPr>
      <w:r>
        <w:t xml:space="preserve">Dammers, R. J. (2019). Technology-based music classes in high schools in the United States: A descriptive analysis of course offerings and student demographics. </w:t>
      </w:r>
      <w:r>
        <w:rPr>
          <w:rStyle w:val="Emphasis"/>
        </w:rPr>
        <w:t>Journal of Music, Technology &amp; Education, 12</w:t>
      </w:r>
      <w:r>
        <w:t xml:space="preserve">(1), 7–25. </w:t>
      </w:r>
      <w:hyperlink r:id="rId8" w:tgtFrame="_new" w:history="1">
        <w:r>
          <w:rPr>
            <w:rStyle w:val="Hyperlink"/>
          </w:rPr>
          <w:t>https://doi.org/10.1386/jmte.12.1.7_1</w:t>
        </w:r>
      </w:hyperlink>
    </w:p>
    <w:p w14:paraId="5799FD48" w14:textId="77777777" w:rsidR="009A488F" w:rsidRDefault="009A488F" w:rsidP="009A488F">
      <w:pPr>
        <w:pStyle w:val="NormalWeb"/>
        <w:ind w:left="720" w:hanging="720"/>
      </w:pPr>
      <w:r>
        <w:t xml:space="preserve">Hal Leonard LLC. (n.d.). </w:t>
      </w:r>
      <w:proofErr w:type="spellStart"/>
      <w:r>
        <w:rPr>
          <w:rStyle w:val="Emphasis"/>
        </w:rPr>
        <w:t>Noteflight</w:t>
      </w:r>
      <w:proofErr w:type="spellEnd"/>
      <w:r>
        <w:t xml:space="preserve"> [Web-based music notation software]. Retrieved September 14, 2025, from </w:t>
      </w:r>
      <w:hyperlink r:id="rId9" w:tgtFrame="_new" w:history="1">
        <w:r>
          <w:rPr>
            <w:rStyle w:val="Hyperlink"/>
          </w:rPr>
          <w:t>https://www.noteflight.com/</w:t>
        </w:r>
      </w:hyperlink>
    </w:p>
    <w:p w14:paraId="49969AA2" w14:textId="77777777" w:rsidR="009A488F" w:rsidRDefault="009A488F" w:rsidP="009A488F">
      <w:pPr>
        <w:pStyle w:val="NormalWeb"/>
        <w:ind w:left="720" w:hanging="720"/>
      </w:pPr>
      <w:r>
        <w:t xml:space="preserve">Makransky, G., &amp; Mayer, R. E. (2022). Benefits of immersive virtual reality for science learning: A meta-analysis. </w:t>
      </w:r>
      <w:r>
        <w:rPr>
          <w:rStyle w:val="Emphasis"/>
        </w:rPr>
        <w:t>Educational Psychology Review, 34,</w:t>
      </w:r>
      <w:r>
        <w:t xml:space="preserve"> 1771–1797. https://doi.org/10.1007/s10648-021-09623-9</w:t>
      </w:r>
    </w:p>
    <w:p w14:paraId="31B70CC6" w14:textId="77777777" w:rsidR="009A488F" w:rsidRDefault="009A488F" w:rsidP="009A488F">
      <w:pPr>
        <w:pStyle w:val="NormalWeb"/>
        <w:ind w:left="720" w:hanging="720"/>
      </w:pPr>
      <w:r>
        <w:t xml:space="preserve">OpenAI. (2025). </w:t>
      </w:r>
      <w:r>
        <w:rPr>
          <w:rStyle w:val="Emphasis"/>
        </w:rPr>
        <w:t>ChatGPT (May 2025 version)</w:t>
      </w:r>
      <w:r>
        <w:t xml:space="preserve"> [Large language model]. </w:t>
      </w:r>
      <w:hyperlink r:id="rId10" w:tgtFrame="_new" w:history="1">
        <w:r>
          <w:rPr>
            <w:rStyle w:val="Hyperlink"/>
          </w:rPr>
          <w:t>https://chat.openai.com/</w:t>
        </w:r>
      </w:hyperlink>
    </w:p>
    <w:p w14:paraId="5671CC30" w14:textId="77777777" w:rsidR="009A488F" w:rsidRDefault="009A488F" w:rsidP="009A488F">
      <w:pPr>
        <w:pStyle w:val="NormalWeb"/>
        <w:ind w:left="720" w:hanging="720"/>
      </w:pPr>
      <w:r>
        <w:t xml:space="preserve">Pellas, N., </w:t>
      </w:r>
      <w:proofErr w:type="spellStart"/>
      <w:r>
        <w:t>Mystakidis</w:t>
      </w:r>
      <w:proofErr w:type="spellEnd"/>
      <w:r>
        <w:t xml:space="preserve">, S., &amp; </w:t>
      </w:r>
      <w:proofErr w:type="spellStart"/>
      <w:r>
        <w:t>Kazanidis</w:t>
      </w:r>
      <w:proofErr w:type="spellEnd"/>
      <w:r>
        <w:t xml:space="preserve">, I. (2021). Immersive virtual reality in K-12 and higher education: A systematic review of the last decade. </w:t>
      </w:r>
      <w:r>
        <w:rPr>
          <w:rStyle w:val="Emphasis"/>
        </w:rPr>
        <w:t>Computers &amp; Education, 147,</w:t>
      </w:r>
      <w:r>
        <w:t xml:space="preserve"> 103778. </w:t>
      </w:r>
      <w:hyperlink r:id="rId11" w:tgtFrame="_new" w:history="1">
        <w:r>
          <w:rPr>
            <w:rStyle w:val="Hyperlink"/>
          </w:rPr>
          <w:t>https://doi.org/10.1016/j.compedu.2019.103778</w:t>
        </w:r>
      </w:hyperlink>
    </w:p>
    <w:p w14:paraId="04B1210B" w14:textId="77777777" w:rsidR="009A488F" w:rsidRDefault="009A488F" w:rsidP="009A488F">
      <w:pPr>
        <w:pStyle w:val="NormalWeb"/>
        <w:ind w:left="720" w:hanging="720"/>
      </w:pPr>
      <w:proofErr w:type="spellStart"/>
      <w:r>
        <w:t>Radianti</w:t>
      </w:r>
      <w:proofErr w:type="spellEnd"/>
      <w:r>
        <w:t xml:space="preserve">, J., Majchrzak, T. A., Fromm, J., &amp; </w:t>
      </w:r>
      <w:proofErr w:type="spellStart"/>
      <w:r>
        <w:t>Wohlgenannt</w:t>
      </w:r>
      <w:proofErr w:type="spellEnd"/>
      <w:r>
        <w:t xml:space="preserve">, I. (2020). A systematic review of immersive virtual reality applications for higher education: Design elements, lessons learned, and research agenda. </w:t>
      </w:r>
      <w:r>
        <w:rPr>
          <w:rStyle w:val="Emphasis"/>
        </w:rPr>
        <w:t>Computers &amp; Education, 147,</w:t>
      </w:r>
      <w:r>
        <w:t xml:space="preserve"> 103778. </w:t>
      </w:r>
      <w:hyperlink r:id="rId12" w:tgtFrame="_new" w:history="1">
        <w:r>
          <w:rPr>
            <w:rStyle w:val="Hyperlink"/>
          </w:rPr>
          <w:t>https://doi.org/10.1016/j.compedu.2019.103778</w:t>
        </w:r>
      </w:hyperlink>
    </w:p>
    <w:p w14:paraId="1A4D520E" w14:textId="77777777" w:rsidR="009A488F" w:rsidRDefault="009A488F" w:rsidP="009A488F">
      <w:pPr>
        <w:pStyle w:val="NormalWeb"/>
        <w:ind w:left="720" w:hanging="720"/>
      </w:pPr>
      <w:r>
        <w:t xml:space="preserve">Rose, D. H., &amp; Meyer, A. (2002). </w:t>
      </w:r>
      <w:r>
        <w:rPr>
          <w:rStyle w:val="Emphasis"/>
        </w:rPr>
        <w:t>Teaching every student in the digital age: Universal design for learning.</w:t>
      </w:r>
      <w:r>
        <w:t xml:space="preserve"> Association for Supervision and Curriculum Development.</w:t>
      </w:r>
    </w:p>
    <w:p w14:paraId="23519943" w14:textId="77777777" w:rsidR="009A488F" w:rsidRDefault="009A488F" w:rsidP="009A488F">
      <w:pPr>
        <w:pStyle w:val="NormalWeb"/>
        <w:ind w:left="720" w:hanging="720"/>
      </w:pPr>
      <w:r>
        <w:t xml:space="preserve">Spotify AB. (n.d.). </w:t>
      </w:r>
      <w:proofErr w:type="spellStart"/>
      <w:r>
        <w:rPr>
          <w:rStyle w:val="Emphasis"/>
        </w:rPr>
        <w:t>Soundtrap</w:t>
      </w:r>
      <w:proofErr w:type="spellEnd"/>
      <w:r>
        <w:t xml:space="preserve"> [Online music production software]. Retrieved September 14, 2025, from </w:t>
      </w:r>
      <w:hyperlink r:id="rId13" w:tgtFrame="_new" w:history="1">
        <w:r>
          <w:rPr>
            <w:rStyle w:val="Hyperlink"/>
          </w:rPr>
          <w:t>https://www.soundtrap.com/</w:t>
        </w:r>
      </w:hyperlink>
    </w:p>
    <w:p w14:paraId="0C715F55" w14:textId="77777777" w:rsidR="009A488F" w:rsidRPr="009A488F" w:rsidRDefault="009A488F" w:rsidP="009A488F">
      <w:pPr>
        <w:rPr>
          <w:rFonts w:ascii="Times New Roman" w:eastAsiaTheme="majorEastAsia" w:hAnsi="Times New Roman" w:cs="Times New Roman"/>
          <w:color w:val="365F91" w:themeColor="accent1" w:themeShade="BF"/>
          <w:sz w:val="24"/>
          <w:szCs w:val="24"/>
        </w:rPr>
      </w:pPr>
    </w:p>
    <w:sectPr w:rsidR="009A488F" w:rsidRPr="009A488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42739572">
    <w:abstractNumId w:val="8"/>
  </w:num>
  <w:num w:numId="2" w16cid:durableId="440880252">
    <w:abstractNumId w:val="6"/>
  </w:num>
  <w:num w:numId="3" w16cid:durableId="2096242847">
    <w:abstractNumId w:val="5"/>
  </w:num>
  <w:num w:numId="4" w16cid:durableId="1487865388">
    <w:abstractNumId w:val="4"/>
  </w:num>
  <w:num w:numId="5" w16cid:durableId="1872837772">
    <w:abstractNumId w:val="7"/>
  </w:num>
  <w:num w:numId="6" w16cid:durableId="1650863828">
    <w:abstractNumId w:val="3"/>
  </w:num>
  <w:num w:numId="7" w16cid:durableId="1433748468">
    <w:abstractNumId w:val="2"/>
  </w:num>
  <w:num w:numId="8" w16cid:durableId="936209373">
    <w:abstractNumId w:val="1"/>
  </w:num>
  <w:num w:numId="9" w16cid:durableId="1198927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A028E"/>
    <w:rsid w:val="0015074B"/>
    <w:rsid w:val="00212B68"/>
    <w:rsid w:val="002324BD"/>
    <w:rsid w:val="0029639D"/>
    <w:rsid w:val="00326F90"/>
    <w:rsid w:val="00462424"/>
    <w:rsid w:val="00813D53"/>
    <w:rsid w:val="008A3279"/>
    <w:rsid w:val="009A488F"/>
    <w:rsid w:val="009C5D5C"/>
    <w:rsid w:val="00AA1D8D"/>
    <w:rsid w:val="00B47730"/>
    <w:rsid w:val="00C25D16"/>
    <w:rsid w:val="00CB0664"/>
    <w:rsid w:val="00CB324E"/>
    <w:rsid w:val="00D5342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B780F4"/>
  <w14:defaultImageDpi w14:val="300"/>
  <w15:docId w15:val="{18061BE8-C6E8-744E-8459-3C6432C8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62424"/>
    <w:rPr>
      <w:color w:val="0000FF" w:themeColor="hyperlink"/>
      <w:u w:val="single"/>
    </w:rPr>
  </w:style>
  <w:style w:type="character" w:styleId="UnresolvedMention">
    <w:name w:val="Unresolved Mention"/>
    <w:basedOn w:val="DefaultParagraphFont"/>
    <w:uiPriority w:val="99"/>
    <w:semiHidden/>
    <w:unhideWhenUsed/>
    <w:rsid w:val="00462424"/>
    <w:rPr>
      <w:color w:val="605E5C"/>
      <w:shd w:val="clear" w:color="auto" w:fill="E1DFDD"/>
    </w:rPr>
  </w:style>
  <w:style w:type="character" w:styleId="FollowedHyperlink">
    <w:name w:val="FollowedHyperlink"/>
    <w:basedOn w:val="DefaultParagraphFont"/>
    <w:uiPriority w:val="99"/>
    <w:semiHidden/>
    <w:unhideWhenUsed/>
    <w:rsid w:val="009A488F"/>
    <w:rPr>
      <w:color w:val="800080" w:themeColor="followedHyperlink"/>
      <w:u w:val="single"/>
    </w:rPr>
  </w:style>
  <w:style w:type="paragraph" w:styleId="NormalWeb">
    <w:name w:val="Normal (Web)"/>
    <w:basedOn w:val="Normal"/>
    <w:uiPriority w:val="99"/>
    <w:semiHidden/>
    <w:unhideWhenUsed/>
    <w:rsid w:val="009A488F"/>
    <w:pPr>
      <w:spacing w:before="100" w:beforeAutospacing="1" w:after="100" w:afterAutospacing="1" w:line="240" w:lineRule="auto"/>
    </w:pPr>
    <w:rPr>
      <w:rFonts w:ascii="Times New Roman" w:eastAsia="Times New Roman" w:hAnsi="Times New Roman" w:cs="Times New Roman"/>
      <w:sz w:val="24"/>
      <w:szCs w:val="24"/>
      <w:lang w:eastAsia="zh-CN"/>
    </w:rPr>
  </w:style>
  <w:style w:type="table" w:styleId="PlainTable1">
    <w:name w:val="Plain Table 1"/>
    <w:basedOn w:val="TableNormal"/>
    <w:uiPriority w:val="99"/>
    <w:rsid w:val="009A488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386/jmte.12.1.7_1" TargetMode="External"/><Relationship Id="rId13" Type="http://schemas.openxmlformats.org/officeDocument/2006/relationships/hyperlink" Target="https://www.soundtrap.com/" TargetMode="External"/><Relationship Id="rId3" Type="http://schemas.openxmlformats.org/officeDocument/2006/relationships/styles" Target="styles.xml"/><Relationship Id="rId7" Type="http://schemas.openxmlformats.org/officeDocument/2006/relationships/hyperlink" Target="https://doi.org/10.5406/bulcouresmusedu.195.0009" TargetMode="External"/><Relationship Id="rId12" Type="http://schemas.openxmlformats.org/officeDocument/2006/relationships/hyperlink" Target="https://doi.org/10.1016/j.compedu.2019.10377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arisecourtney.com/2025/09/14/building-the-future-of-music-education-with-technology/" TargetMode="External"/><Relationship Id="rId11" Type="http://schemas.openxmlformats.org/officeDocument/2006/relationships/hyperlink" Target="https://doi.org/10.1016/j.compedu.2019.10377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hat.openai.com/" TargetMode="External"/><Relationship Id="rId4" Type="http://schemas.openxmlformats.org/officeDocument/2006/relationships/settings" Target="settings.xml"/><Relationship Id="rId9" Type="http://schemas.openxmlformats.org/officeDocument/2006/relationships/hyperlink" Target="https://www.noteflight.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1888</Words>
  <Characters>10766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12629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Charise Courtney</cp:lastModifiedBy>
  <cp:revision>4</cp:revision>
  <dcterms:created xsi:type="dcterms:W3CDTF">2025-09-15T00:45:00Z</dcterms:created>
  <dcterms:modified xsi:type="dcterms:W3CDTF">2025-09-15T01:01:00Z</dcterms:modified>
  <cp:category/>
</cp:coreProperties>
</file>